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C3CE0" w14:textId="77777777" w:rsidR="00C0016C" w:rsidRDefault="00000000">
      <w:pPr>
        <w:pStyle w:val="ab"/>
        <w:widowControl/>
        <w:spacing w:after="0" w:line="580" w:lineRule="exact"/>
        <w:contextualSpacing w:val="0"/>
        <w:rPr>
          <w:rFonts w:ascii="方正小标宋简体" w:eastAsia="方正小标宋简体" w:hAnsi="方正小标宋简体" w:cs="方正小标宋简体" w:hint="eastAsia"/>
          <w:spacing w:val="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0"/>
          <w:kern w:val="2"/>
          <w:sz w:val="44"/>
          <w:szCs w:val="44"/>
        </w:rPr>
        <w:t>焦作工贸职业学院（山阳校区）</w:t>
      </w:r>
    </w:p>
    <w:p w14:paraId="10D84527" w14:textId="77777777" w:rsidR="00C0016C" w:rsidRDefault="00000000">
      <w:pPr>
        <w:pStyle w:val="ab"/>
        <w:widowControl/>
        <w:spacing w:after="0" w:line="580" w:lineRule="exact"/>
        <w:contextualSpacing w:val="0"/>
        <w:rPr>
          <w:rFonts w:ascii="方正小标宋简体" w:eastAsia="方正小标宋简体" w:hAnsi="方正小标宋简体" w:cs="方正小标宋简体" w:hint="eastAsia"/>
          <w:spacing w:val="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0"/>
          <w:kern w:val="2"/>
          <w:sz w:val="44"/>
          <w:szCs w:val="44"/>
        </w:rPr>
        <w:t>“启航杯”职业生涯规划大赛比赛方案</w:t>
      </w:r>
    </w:p>
    <w:p w14:paraId="53E1B2AC" w14:textId="77777777" w:rsidR="00C0016C" w:rsidRDefault="00C0016C">
      <w:pPr>
        <w:adjustRightInd w:val="0"/>
        <w:snapToGrid w:val="0"/>
        <w:spacing w:line="560" w:lineRule="exact"/>
        <w:rPr>
          <w:rFonts w:ascii="仿宋" w:eastAsia="仿宋" w:hAnsi="仿宋" w:cs="仿宋" w:hint="eastAsia"/>
          <w:sz w:val="30"/>
          <w:szCs w:val="30"/>
        </w:rPr>
      </w:pPr>
    </w:p>
    <w:p w14:paraId="14905198" w14:textId="77777777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0D0D0D" w:themeColor="text1" w:themeTint="F2"/>
          <w:sz w:val="30"/>
          <w:szCs w:val="30"/>
          <w:lang w:val="zh-TW"/>
        </w:rPr>
        <w:t>一、比赛项目</w:t>
      </w:r>
    </w:p>
    <w:p w14:paraId="7F96F747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职业生涯规划</w:t>
      </w:r>
    </w:p>
    <w:p w14:paraId="5D994E6F" w14:textId="77777777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color w:val="auto"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二、比赛内容及要求</w:t>
      </w:r>
    </w:p>
    <w:p w14:paraId="5D62EB0A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1.主题：规划启航，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职引未来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。</w:t>
      </w:r>
    </w:p>
    <w:p w14:paraId="36DFBBFF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2.形式：比赛为个人赛，共分为职业生涯规划设计、现场展示答辩两个环节。</w:t>
      </w:r>
    </w:p>
    <w:p w14:paraId="403BE58D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3.选手提交以下参赛材料：职业生涯规划设计和现场展示PPT。</w:t>
      </w:r>
    </w:p>
    <w:p w14:paraId="54E229BD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4.要求：</w:t>
      </w:r>
    </w:p>
    <w:p w14:paraId="0368177F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（1）职业生涯规划设计：选手根据赛事主题和个人实际情况（包含所学专业，自身性格、兴趣、能力及职业价值取向，学习情况等），总结学习感悟，结合国家新的职业教育政策，完成符合新时代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下职业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生涯规划设计。要求作品既能体现设计者将小我融入大我、融入中华民族伟大复兴征程的职业理想，又能体现对该专业从业者职业素养的观察与分析。报告要介绍设定职业目标的过程；实现职业目标的具体行动和成效；职业目标及行动的动态调整等（PDF格式文字不超过2000字，图表不超过5张）。</w:t>
      </w:r>
    </w:p>
    <w:p w14:paraId="4B5A22D3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（2）现场展示答辩环节：参赛选手按照提交作品的内容，立足新起点、新征程，把握新时代中国共产党肩负的历史使命，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以设计思路分析、关键内容讲解、内容情境模拟等形式完成现场展示，同时也可以穿插展示与自身规划的职业相关的才艺或技能（生涯发展展示、PPT格式不超过50MB可加入视频）。</w:t>
      </w:r>
    </w:p>
    <w:p w14:paraId="5BF6E1A0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3）参赛选手须按大赛要求完成两个环节的比赛，最终成绩为两个环节成绩的总和。其中职业生涯规划设计环节总分为70分；现场展示答辩环节总分为30分，比赛时间不超过8分钟（其中选手展示环节不超过5分钟，答辩时间为3分钟）。</w:t>
      </w:r>
    </w:p>
    <w:p w14:paraId="293AA353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5.参考教材：《心理健康与职业生涯》，国家规划教材，高等教育出版社。《大学生职业发展规划与指导教程》，上海交通大学出版社。</w:t>
      </w:r>
    </w:p>
    <w:p w14:paraId="499865B8" w14:textId="77777777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color w:val="auto"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三、比赛规则</w:t>
      </w:r>
    </w:p>
    <w:p w14:paraId="76831104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1.各参赛选手必须按组规定的时间和地点完成报到、检录和参赛号抽取等比赛环节，且参赛号一经抽取并签字确认后不得更改，未按规定时间和地点进行报到、检录和参赛号抽取环节的，视为自动放弃比赛。</w:t>
      </w:r>
    </w:p>
    <w:p w14:paraId="1D30CA1B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2.选手在现场展示答辩过程中，仅能报该环节抽取的参赛序号，不得出现姓名、学院等具体信息。</w:t>
      </w:r>
    </w:p>
    <w:p w14:paraId="73C626D4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3.参赛作品必须是参赛选手的原创作品，不得有弄虚作假、抄袭、盗用等不法手段，否则一经发现即予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取消其参资格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，一切责任由参者自行承担。</w:t>
      </w:r>
    </w:p>
    <w:p w14:paraId="13CC75A0" w14:textId="77777777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color w:val="auto"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四、比赛评判</w:t>
      </w:r>
    </w:p>
    <w:p w14:paraId="25C9301A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学校组织专家老师，以教育部、人力资源社会保障部和省教育厅、省人力资源社会保障厅颁发的相关专业教学标准和课程标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准为依据，按照评分标准进行客观、公正的评判。</w:t>
      </w:r>
    </w:p>
    <w:p w14:paraId="32471908" w14:textId="77777777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color w:val="auto"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五、评分标准</w:t>
      </w:r>
    </w:p>
    <w:p w14:paraId="6C981B99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1.比赛将从各个方面对选手进行综合评比，评委评分采取百分制，按照比赛总成绩从高到低排列参赛选手名次。</w:t>
      </w:r>
    </w:p>
    <w:p w14:paraId="2267B8AA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2.作品设计环节占70分，要求作品内容完整、格式清晰、创意新颖，正文部分不超过2000字。</w:t>
      </w:r>
    </w:p>
    <w:p w14:paraId="002423CF" w14:textId="77777777" w:rsidR="00C0016C" w:rsidRDefault="00000000">
      <w:pPr>
        <w:spacing w:line="560" w:lineRule="exact"/>
        <w:jc w:val="center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表 1.作品设计环节评分标准（70 分）</w:t>
      </w:r>
    </w:p>
    <w:tbl>
      <w:tblPr>
        <w:tblW w:w="8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1587"/>
        <w:gridCol w:w="3772"/>
        <w:gridCol w:w="726"/>
        <w:gridCol w:w="1253"/>
      </w:tblGrid>
      <w:tr w:rsidR="00C0016C" w14:paraId="15B33059" w14:textId="77777777">
        <w:trPr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57E6BB5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评分项目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DF6B860" w14:textId="77777777" w:rsidR="00C0016C" w:rsidRDefault="00C0016C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D0C16DF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评分标准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3D65476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分值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072F87A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选手得分</w:t>
            </w:r>
          </w:p>
        </w:tc>
      </w:tr>
      <w:tr w:rsidR="00C0016C" w14:paraId="0E798045" w14:textId="77777777">
        <w:trPr>
          <w:cantSplit/>
          <w:trHeight w:val="1224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527983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一、作品</w:t>
            </w:r>
          </w:p>
          <w:p w14:paraId="750C4C63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设计思路</w:t>
            </w:r>
          </w:p>
          <w:p w14:paraId="73DB5BD6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（50分）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5F13E8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1.内容完整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B8C29" w14:textId="77777777" w:rsidR="00C0016C" w:rsidRDefault="00000000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pacing w:val="-2"/>
                <w:sz w:val="30"/>
                <w:szCs w:val="30"/>
              </w:rPr>
              <w:t>通过对自我和外部环境进行全面分析，提出职业目标的过程、实现职业目标的具体行动和成效；职业目标及行动的动态调整等发展路径。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8CFBC7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EA3D6F0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  <w:tr w:rsidR="00C0016C" w14:paraId="73D93B64" w14:textId="77777777">
        <w:trPr>
          <w:cantSplit/>
          <w:trHeight w:val="1224"/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8AB1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E787E8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2.作品思路和逻辑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55C6CB" w14:textId="77777777" w:rsidR="00C0016C" w:rsidRDefault="00000000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思路清晰，逻辑合理，能够准确把握职业生涯规划设计标准的核心与关键。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B828CC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001E5C9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  <w:tr w:rsidR="00C0016C" w14:paraId="2EF277C6" w14:textId="77777777">
        <w:trPr>
          <w:cantSplit/>
          <w:trHeight w:val="1244"/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5054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BEA105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3.作品的</w:t>
            </w:r>
          </w:p>
          <w:p w14:paraId="16343C6C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科学性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FEBB98" w14:textId="77777777" w:rsidR="00C0016C" w:rsidRDefault="00000000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具体实施方案符合职业学生特点切实可行，规划具有可操作性和实践性。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6FB78D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FE13D1D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  <w:tr w:rsidR="00C0016C" w14:paraId="5B675EDD" w14:textId="77777777">
        <w:trPr>
          <w:cantSplit/>
          <w:trHeight w:val="408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E9B2AF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二、作</w:t>
            </w: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lastRenderedPageBreak/>
              <w:t>品文笔及视角</w:t>
            </w:r>
          </w:p>
          <w:p w14:paraId="6E78AF8D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（20）</w:t>
            </w:r>
          </w:p>
        </w:tc>
        <w:tc>
          <w:tcPr>
            <w:tcW w:w="5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F3951B" w14:textId="77777777" w:rsidR="00C0016C" w:rsidRDefault="00000000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lastRenderedPageBreak/>
              <w:t>1.格式正确、文字流畅。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9AC0167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6BEA908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  <w:tr w:rsidR="00C0016C" w14:paraId="7DD0AA67" w14:textId="77777777">
        <w:trPr>
          <w:cantSplit/>
          <w:trHeight w:val="398"/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1EA7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</w:p>
        </w:tc>
        <w:tc>
          <w:tcPr>
            <w:tcW w:w="5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37A265" w14:textId="77777777" w:rsidR="00C0016C" w:rsidRDefault="00000000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2.视角新颖，简洁独特，有创新性。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55DB93B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79803A5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  <w:tr w:rsidR="00C0016C" w14:paraId="0A31F1D6" w14:textId="77777777">
        <w:trPr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2CF9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</w:p>
        </w:tc>
        <w:tc>
          <w:tcPr>
            <w:tcW w:w="5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983A87" w14:textId="77777777" w:rsidR="00C0016C" w:rsidRDefault="00000000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3.作品排版规范，大方美观。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30A205D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6886907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  <w:tr w:rsidR="00C0016C" w14:paraId="0EC526E2" w14:textId="77777777">
        <w:trPr>
          <w:jc w:val="center"/>
        </w:trPr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9174C60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合计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4DD9CA1A" w14:textId="77777777" w:rsidR="00C0016C" w:rsidRDefault="00000000">
            <w:pPr>
              <w:spacing w:line="560" w:lineRule="exact"/>
              <w:jc w:val="center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  <w:t>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72B2F5F" w14:textId="77777777" w:rsidR="00C0016C" w:rsidRDefault="00C0016C">
            <w:pPr>
              <w:spacing w:line="560" w:lineRule="exact"/>
              <w:rPr>
                <w:rFonts w:ascii="仿宋" w:eastAsia="仿宋" w:hAnsi="仿宋" w:cs="仿宋" w:hint="eastAsia"/>
                <w:color w:val="000000"/>
                <w:sz w:val="30"/>
                <w:szCs w:val="30"/>
              </w:rPr>
            </w:pPr>
          </w:p>
        </w:tc>
      </w:tr>
    </w:tbl>
    <w:p w14:paraId="3C7157A3" w14:textId="77777777" w:rsidR="00C0016C" w:rsidRDefault="00C0016C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</w:p>
    <w:p w14:paraId="633BD025" w14:textId="77777777" w:rsidR="00C0016C" w:rsidRDefault="00C0016C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</w:p>
    <w:p w14:paraId="08AD03AC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现场展示答辩环节占30分，要求能够表现出参赛选手的个人综合素质，实际效果突出，答辩准确，充分展现其良好的职业精神风貌和职业形象。</w:t>
      </w:r>
    </w:p>
    <w:p w14:paraId="707283FF" w14:textId="77777777" w:rsidR="00C0016C" w:rsidRDefault="00000000">
      <w:pPr>
        <w:pStyle w:val="a3"/>
        <w:adjustRightInd w:val="0"/>
        <w:snapToGrid w:val="0"/>
        <w:spacing w:line="560" w:lineRule="exact"/>
        <w:ind w:left="0"/>
        <w:jc w:val="center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pacing w:val="-30"/>
          <w:sz w:val="30"/>
          <w:szCs w:val="30"/>
        </w:rPr>
        <w:t xml:space="preserve">表 </w:t>
      </w:r>
      <w:r>
        <w:rPr>
          <w:rFonts w:ascii="仿宋" w:eastAsia="仿宋" w:hAnsi="仿宋" w:cs="仿宋" w:hint="eastAsia"/>
          <w:sz w:val="30"/>
          <w:szCs w:val="30"/>
        </w:rPr>
        <w:t>2.现场展示答辩环节评分标准（30</w:t>
      </w:r>
      <w:r>
        <w:rPr>
          <w:rFonts w:ascii="仿宋" w:eastAsia="仿宋" w:hAnsi="仿宋" w:cs="仿宋" w:hint="eastAsia"/>
          <w:spacing w:val="-24"/>
          <w:sz w:val="30"/>
          <w:szCs w:val="30"/>
        </w:rPr>
        <w:t xml:space="preserve"> 分)</w:t>
      </w:r>
    </w:p>
    <w:tbl>
      <w:tblPr>
        <w:tblStyle w:val="TableNormal"/>
        <w:tblW w:w="8927" w:type="dxa"/>
        <w:tblInd w:w="-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68"/>
        <w:gridCol w:w="1261"/>
        <w:gridCol w:w="1398"/>
      </w:tblGrid>
      <w:tr w:rsidR="00C0016C" w14:paraId="23876076" w14:textId="77777777">
        <w:trPr>
          <w:trHeight w:val="467"/>
        </w:trPr>
        <w:tc>
          <w:tcPr>
            <w:tcW w:w="6268" w:type="dxa"/>
          </w:tcPr>
          <w:p w14:paraId="743EB569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3"/>
                <w:sz w:val="30"/>
                <w:szCs w:val="30"/>
                <w:lang w:eastAsia="en-US"/>
              </w:rPr>
              <w:t>评分标准</w:t>
            </w:r>
            <w:proofErr w:type="spellEnd"/>
          </w:p>
        </w:tc>
        <w:tc>
          <w:tcPr>
            <w:tcW w:w="1261" w:type="dxa"/>
          </w:tcPr>
          <w:p w14:paraId="24C26D04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5"/>
                <w:sz w:val="30"/>
                <w:szCs w:val="30"/>
                <w:lang w:eastAsia="en-US"/>
              </w:rPr>
              <w:t>分值</w:t>
            </w:r>
            <w:proofErr w:type="spellEnd"/>
          </w:p>
        </w:tc>
        <w:tc>
          <w:tcPr>
            <w:tcW w:w="1398" w:type="dxa"/>
          </w:tcPr>
          <w:p w14:paraId="51DCED45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3"/>
                <w:sz w:val="30"/>
                <w:szCs w:val="30"/>
                <w:lang w:eastAsia="en-US"/>
              </w:rPr>
              <w:t>选手得分</w:t>
            </w:r>
            <w:proofErr w:type="spellEnd"/>
          </w:p>
        </w:tc>
      </w:tr>
      <w:tr w:rsidR="00C0016C" w14:paraId="4CA1373F" w14:textId="77777777">
        <w:trPr>
          <w:trHeight w:val="466"/>
        </w:trPr>
        <w:tc>
          <w:tcPr>
            <w:tcW w:w="6268" w:type="dxa"/>
          </w:tcPr>
          <w:p w14:paraId="1B8C5407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1.</w:t>
            </w:r>
            <w:r>
              <w:rPr>
                <w:rFonts w:ascii="仿宋" w:eastAsia="仿宋" w:hAnsi="仿宋" w:cs="仿宋" w:hint="eastAsia"/>
                <w:spacing w:val="-1"/>
                <w:sz w:val="30"/>
                <w:szCs w:val="30"/>
              </w:rPr>
              <w:t>普通话标准，条理清晰，逻辑性强。</w:t>
            </w:r>
          </w:p>
        </w:tc>
        <w:tc>
          <w:tcPr>
            <w:tcW w:w="1261" w:type="dxa"/>
          </w:tcPr>
          <w:p w14:paraId="71805D1E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7</w:t>
            </w:r>
          </w:p>
        </w:tc>
        <w:tc>
          <w:tcPr>
            <w:tcW w:w="1398" w:type="dxa"/>
          </w:tcPr>
          <w:p w14:paraId="64813A2A" w14:textId="77777777" w:rsidR="00C0016C" w:rsidRDefault="00C0016C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</w:p>
        </w:tc>
      </w:tr>
      <w:tr w:rsidR="00C0016C" w14:paraId="61FF07FE" w14:textId="77777777">
        <w:trPr>
          <w:trHeight w:val="468"/>
        </w:trPr>
        <w:tc>
          <w:tcPr>
            <w:tcW w:w="6268" w:type="dxa"/>
          </w:tcPr>
          <w:p w14:paraId="5FD14B7E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2.</w:t>
            </w:r>
            <w:r>
              <w:rPr>
                <w:rFonts w:ascii="仿宋" w:eastAsia="仿宋" w:hAnsi="仿宋" w:cs="仿宋" w:hint="eastAsia"/>
                <w:spacing w:val="-1"/>
                <w:sz w:val="30"/>
                <w:szCs w:val="30"/>
              </w:rPr>
              <w:t>仪表大方、举止得当。</w:t>
            </w:r>
          </w:p>
        </w:tc>
        <w:tc>
          <w:tcPr>
            <w:tcW w:w="1261" w:type="dxa"/>
          </w:tcPr>
          <w:p w14:paraId="7B4A1848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6</w:t>
            </w:r>
          </w:p>
        </w:tc>
        <w:tc>
          <w:tcPr>
            <w:tcW w:w="1398" w:type="dxa"/>
          </w:tcPr>
          <w:p w14:paraId="6492777E" w14:textId="77777777" w:rsidR="00C0016C" w:rsidRDefault="00C0016C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</w:p>
        </w:tc>
      </w:tr>
      <w:tr w:rsidR="00C0016C" w14:paraId="1297FD7C" w14:textId="77777777">
        <w:trPr>
          <w:trHeight w:val="465"/>
        </w:trPr>
        <w:tc>
          <w:tcPr>
            <w:tcW w:w="6268" w:type="dxa"/>
          </w:tcPr>
          <w:p w14:paraId="0FE298B5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3.</w:t>
            </w:r>
            <w:r>
              <w:rPr>
                <w:rFonts w:ascii="仿宋" w:eastAsia="仿宋" w:hAnsi="仿宋" w:cs="仿宋" w:hint="eastAsia"/>
                <w:spacing w:val="-1"/>
                <w:sz w:val="30"/>
                <w:szCs w:val="30"/>
              </w:rPr>
              <w:t>结构合理，内容完整。</w:t>
            </w:r>
          </w:p>
        </w:tc>
        <w:tc>
          <w:tcPr>
            <w:tcW w:w="1261" w:type="dxa"/>
          </w:tcPr>
          <w:p w14:paraId="03090DC8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7</w:t>
            </w:r>
          </w:p>
        </w:tc>
        <w:tc>
          <w:tcPr>
            <w:tcW w:w="1398" w:type="dxa"/>
          </w:tcPr>
          <w:p w14:paraId="0D6263B6" w14:textId="77777777" w:rsidR="00C0016C" w:rsidRDefault="00C0016C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</w:p>
        </w:tc>
      </w:tr>
      <w:tr w:rsidR="00C0016C" w14:paraId="77C1C481" w14:textId="77777777">
        <w:trPr>
          <w:trHeight w:val="468"/>
        </w:trPr>
        <w:tc>
          <w:tcPr>
            <w:tcW w:w="6268" w:type="dxa"/>
          </w:tcPr>
          <w:p w14:paraId="6BE449A6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4.</w:t>
            </w:r>
            <w:r>
              <w:rPr>
                <w:rFonts w:ascii="仿宋" w:eastAsia="仿宋" w:hAnsi="仿宋" w:cs="仿宋" w:hint="eastAsia"/>
                <w:spacing w:val="-1"/>
                <w:sz w:val="30"/>
                <w:szCs w:val="30"/>
              </w:rPr>
              <w:t>精神饱满，有说服力和感染力。</w:t>
            </w:r>
          </w:p>
        </w:tc>
        <w:tc>
          <w:tcPr>
            <w:tcW w:w="1261" w:type="dxa"/>
          </w:tcPr>
          <w:p w14:paraId="2FEA49B6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6</w:t>
            </w:r>
          </w:p>
        </w:tc>
        <w:tc>
          <w:tcPr>
            <w:tcW w:w="1398" w:type="dxa"/>
          </w:tcPr>
          <w:p w14:paraId="4A1A8DE1" w14:textId="77777777" w:rsidR="00C0016C" w:rsidRDefault="00C0016C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</w:p>
        </w:tc>
      </w:tr>
      <w:tr w:rsidR="00C0016C" w14:paraId="2FEE8287" w14:textId="77777777">
        <w:trPr>
          <w:trHeight w:val="468"/>
        </w:trPr>
        <w:tc>
          <w:tcPr>
            <w:tcW w:w="6268" w:type="dxa"/>
          </w:tcPr>
          <w:p w14:paraId="5F9C8BE9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5.PPT设计精美，内容紧扣主题。</w:t>
            </w:r>
          </w:p>
        </w:tc>
        <w:tc>
          <w:tcPr>
            <w:tcW w:w="1261" w:type="dxa"/>
          </w:tcPr>
          <w:p w14:paraId="13B05E03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4</w:t>
            </w:r>
          </w:p>
        </w:tc>
        <w:tc>
          <w:tcPr>
            <w:tcW w:w="1398" w:type="dxa"/>
          </w:tcPr>
          <w:p w14:paraId="70134FEF" w14:textId="77777777" w:rsidR="00C0016C" w:rsidRDefault="00C0016C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</w:p>
        </w:tc>
      </w:tr>
      <w:tr w:rsidR="00C0016C" w14:paraId="644E25FA" w14:textId="77777777">
        <w:trPr>
          <w:trHeight w:val="466"/>
        </w:trPr>
        <w:tc>
          <w:tcPr>
            <w:tcW w:w="6268" w:type="dxa"/>
          </w:tcPr>
          <w:p w14:paraId="6C1254E0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5"/>
                <w:sz w:val="30"/>
                <w:szCs w:val="30"/>
                <w:lang w:eastAsia="en-US"/>
              </w:rPr>
              <w:t>合计</w:t>
            </w:r>
            <w:proofErr w:type="spellEnd"/>
          </w:p>
        </w:tc>
        <w:tc>
          <w:tcPr>
            <w:tcW w:w="1261" w:type="dxa"/>
          </w:tcPr>
          <w:p w14:paraId="164EFB6E" w14:textId="77777777" w:rsidR="00C0016C" w:rsidRDefault="00000000">
            <w:pPr>
              <w:pStyle w:val="TableParagraph"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  <w:r>
              <w:rPr>
                <w:rFonts w:ascii="仿宋" w:eastAsia="仿宋" w:hAnsi="仿宋" w:cs="仿宋" w:hint="eastAsia"/>
                <w:spacing w:val="-5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1398" w:type="dxa"/>
          </w:tcPr>
          <w:p w14:paraId="6F106DB8" w14:textId="77777777" w:rsidR="00C0016C" w:rsidRDefault="00C0016C">
            <w:pPr>
              <w:pStyle w:val="TableParagraph"/>
              <w:adjustRightInd w:val="0"/>
              <w:snapToGrid w:val="0"/>
              <w:spacing w:line="560" w:lineRule="exact"/>
              <w:rPr>
                <w:rFonts w:ascii="仿宋" w:eastAsia="仿宋" w:hAnsi="仿宋" w:cs="仿宋" w:hint="eastAsia"/>
                <w:sz w:val="30"/>
                <w:szCs w:val="30"/>
                <w:lang w:eastAsia="en-US"/>
              </w:rPr>
            </w:pPr>
          </w:p>
        </w:tc>
      </w:tr>
    </w:tbl>
    <w:p w14:paraId="2513C4A9" w14:textId="77777777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color w:val="auto"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lastRenderedPageBreak/>
        <w:t>六、奖项设置</w:t>
      </w:r>
    </w:p>
    <w:p w14:paraId="026C3CE6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770555E7" wp14:editId="22BD6B7E">
            <wp:simplePos x="0" y="0"/>
            <wp:positionH relativeFrom="column">
              <wp:posOffset>3221355</wp:posOffset>
            </wp:positionH>
            <wp:positionV relativeFrom="paragraph">
              <wp:posOffset>887730</wp:posOffset>
            </wp:positionV>
            <wp:extent cx="2701925" cy="3850005"/>
            <wp:effectExtent l="0" t="0" r="3175" b="17145"/>
            <wp:wrapSquare wrapText="bothSides"/>
            <wp:docPr id="1" name="图片 1" descr="913e31e0d1d54a3ab2462f41c36ed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13e31e0d1d54a3ab2462f41c36ed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1925" cy="385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30"/>
          <w:szCs w:val="30"/>
        </w:rPr>
        <w:t>竞赛设学生个人奖和辅导教师奖。获奖的等次与比例为：一等奖10%，二等奖25%，三等奖35%，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每选手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限报1名指导教师。</w:t>
      </w:r>
    </w:p>
    <w:p w14:paraId="0D68EB32" w14:textId="421E700E" w:rsidR="00C0016C" w:rsidRDefault="00000000">
      <w:pPr>
        <w:pStyle w:val="3"/>
        <w:widowControl/>
        <w:spacing w:before="0" w:after="0" w:line="560" w:lineRule="exact"/>
        <w:ind w:firstLineChars="200" w:firstLine="602"/>
        <w:jc w:val="left"/>
        <w:rPr>
          <w:rFonts w:ascii="Times New Roman" w:eastAsia="黑体" w:hAnsi="Times New Roman" w:cs="Times New Roman"/>
          <w:b/>
          <w:bCs/>
          <w:color w:val="auto"/>
          <w:sz w:val="30"/>
          <w:szCs w:val="30"/>
          <w:lang w:val="zh-TW"/>
        </w:rPr>
      </w:pP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七、</w:t>
      </w:r>
      <w:r w:rsidR="007B2E87"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承</w:t>
      </w:r>
      <w:r>
        <w:rPr>
          <w:rFonts w:ascii="Times New Roman" w:eastAsia="黑体" w:hAnsi="Times New Roman" w:cs="Times New Roman" w:hint="eastAsia"/>
          <w:b/>
          <w:bCs/>
          <w:color w:val="auto"/>
          <w:sz w:val="30"/>
          <w:szCs w:val="30"/>
          <w:lang w:val="zh-TW"/>
        </w:rPr>
        <w:t>办单位、比赛时间、地点及联系人</w:t>
      </w:r>
    </w:p>
    <w:p w14:paraId="0D139404" w14:textId="7C638B80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 w:rsidR="007B2E87" w:rsidRPr="007B2E87">
        <w:rPr>
          <w:rFonts w:ascii="Times New Roman" w:eastAsia="黑体" w:hAnsi="Times New Roman" w:cs="Times New Roman" w:hint="eastAsia"/>
          <w:b/>
          <w:bCs/>
          <w:sz w:val="30"/>
          <w:szCs w:val="30"/>
          <w:lang w:val="zh-TW"/>
        </w:rPr>
        <w:t xml:space="preserve"> </w:t>
      </w:r>
      <w:r w:rsidR="007B2E87" w:rsidRPr="007B2E87">
        <w:rPr>
          <w:rFonts w:ascii="仿宋" w:eastAsia="仿宋" w:hAnsi="仿宋" w:cs="仿宋" w:hint="eastAsia"/>
          <w:sz w:val="30"/>
          <w:szCs w:val="30"/>
        </w:rPr>
        <w:t>承</w:t>
      </w:r>
      <w:r>
        <w:rPr>
          <w:rFonts w:ascii="仿宋" w:eastAsia="仿宋" w:hAnsi="仿宋" w:cs="仿宋" w:hint="eastAsia"/>
          <w:sz w:val="30"/>
          <w:szCs w:val="30"/>
        </w:rPr>
        <w:t>办单位：马克思主义学院</w:t>
      </w:r>
    </w:p>
    <w:p w14:paraId="4322266F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2.比赛时间：2025年6月3日</w:t>
      </w:r>
    </w:p>
    <w:p w14:paraId="10294705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3.比赛地点：山阳校区公共教学楼6101会议室</w:t>
      </w:r>
    </w:p>
    <w:p w14:paraId="1A96445D" w14:textId="77777777" w:rsidR="00C0016C" w:rsidRDefault="00000000">
      <w:pPr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仿宋_GB2312" w:cs="仿宋_GB2312" w:hint="eastAsia"/>
          <w:bCs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4.联系人：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吴云静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18790219371</w:t>
      </w:r>
    </w:p>
    <w:p w14:paraId="11C96A72" w14:textId="77777777" w:rsidR="00C0016C" w:rsidRDefault="00C0016C">
      <w:pPr>
        <w:adjustRightInd w:val="0"/>
        <w:snapToGrid w:val="0"/>
        <w:spacing w:line="560" w:lineRule="exact"/>
        <w:rPr>
          <w:rFonts w:ascii="仿宋" w:eastAsia="仿宋" w:hAnsi="仿宋" w:cs="仿宋" w:hint="eastAsia"/>
          <w:sz w:val="30"/>
          <w:szCs w:val="30"/>
        </w:rPr>
      </w:pPr>
    </w:p>
    <w:sectPr w:rsidR="00C00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6C"/>
    <w:rsid w:val="007B2E87"/>
    <w:rsid w:val="00C0016C"/>
    <w:rsid w:val="00E5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7EA43F8"/>
  <w15:docId w15:val="{5EB6DBA7-1F72-4FE0-B737-E0E135A9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ind w:left="36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Title"/>
    <w:basedOn w:val="a"/>
    <w:next w:val="a"/>
    <w:link w:val="ac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customStyle="1" w:styleId="11">
    <w:name w:val="引用1"/>
    <w:basedOn w:val="a"/>
    <w:next w:val="a"/>
    <w:link w:val="ad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11"/>
    <w:uiPriority w:val="29"/>
    <w:qFormat/>
    <w:rPr>
      <w:i/>
      <w:iCs/>
      <w:color w:val="404040" w:themeColor="text1" w:themeTint="BF"/>
    </w:rPr>
  </w:style>
  <w:style w:type="paragraph" w:customStyle="1" w:styleId="12">
    <w:name w:val="列表段落1"/>
    <w:basedOn w:val="a"/>
    <w:uiPriority w:val="1"/>
    <w:qFormat/>
    <w:pPr>
      <w:ind w:left="720"/>
      <w:contextualSpacing/>
    </w:pPr>
  </w:style>
  <w:style w:type="character" w:customStyle="1" w:styleId="13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customStyle="1" w:styleId="14">
    <w:name w:val="明显引用1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0"/>
    <w:link w:val="14"/>
    <w:uiPriority w:val="30"/>
    <w:qFormat/>
    <w:rPr>
      <w:i/>
      <w:iCs/>
      <w:color w:val="0F4761" w:themeColor="accent1" w:themeShade="BF"/>
    </w:rPr>
  </w:style>
  <w:style w:type="character" w:customStyle="1" w:styleId="15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table" w:customStyle="1" w:styleId="TableNormal">
    <w:name w:val="Table Normal"/>
    <w:uiPriority w:val="2"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 cheng</dc:creator>
  <cp:lastModifiedBy>346067223@qq.com</cp:lastModifiedBy>
  <cp:revision>7</cp:revision>
  <dcterms:created xsi:type="dcterms:W3CDTF">2025-04-11T08:39:00Z</dcterms:created>
  <dcterms:modified xsi:type="dcterms:W3CDTF">2025-04-29T02:15:00Z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eyJoZGlkIjoiNmE1MjNiZDU5NGE0YTFlOTE2OGNlNGVjYTg1OTFkZmEiLCJ1c2VySWQiOiI0OTE2NzYxNTQifQ==</vt:lpwstr>
  </property>
  <property fmtid="{D5CDD505-2E9C-101B-9397-08002B2CF9AE}" pid="3" name="KSOProductBuildVer">
    <vt:lpwstr>2052-12.15.2</vt:lpwstr>
  </property>
  <property fmtid="{D5CDD505-2E9C-101B-9397-08002B2CF9AE}" pid="4" name="ICV">
    <vt:lpwstr>A786974623E4434DB6A4C6C4A0A08688_13</vt:lpwstr>
  </property>
</Properties>
</file>